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0342" w:rsidRDefault="00000000">
      <w:pPr>
        <w:jc w:val="center"/>
        <w:rPr>
          <w:rFonts w:ascii="HermesFB" w:eastAsia="HermesFB" w:hAnsi="HermesFB" w:cs="HermesFB"/>
          <w:b/>
          <w:sz w:val="32"/>
          <w:szCs w:val="32"/>
        </w:rPr>
      </w:pPr>
      <w:r>
        <w:rPr>
          <w:rFonts w:ascii="HermesFB" w:eastAsia="HermesFB" w:hAnsi="HermesFB" w:cs="HermesFB"/>
          <w:b/>
          <w:sz w:val="32"/>
          <w:szCs w:val="32"/>
        </w:rPr>
        <w:t>Startuje Jubileuszowa XX Edycja Konkursu Project Master!</w:t>
      </w:r>
    </w:p>
    <w:p w14:paraId="00000002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>1 czerwca 2025 wystartowała </w:t>
      </w:r>
      <w:r>
        <w:rPr>
          <w:rFonts w:ascii="HermesPl Thin" w:eastAsia="HermesPl Thin" w:hAnsi="HermesPl Thin" w:cs="HermesPl Thin"/>
          <w:b/>
        </w:rPr>
        <w:t>Jubileuszowa XX Edycja Konkursu Project Master na najlepszą pracę dyplomową z zarządzania projektami, </w:t>
      </w:r>
      <w:r>
        <w:rPr>
          <w:rFonts w:ascii="HermesPl Thin" w:eastAsia="HermesPl Thin" w:hAnsi="HermesPl Thin" w:cs="HermesPl Thin"/>
        </w:rPr>
        <w:t>organizowanego przez IPMA Polska oraz Wydział Ekonomii, Finansów i Zarządzania Uniwersytetu Szczecińskiego.</w:t>
      </w:r>
    </w:p>
    <w:p w14:paraId="00000003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XX edycja konkursu odbywa się pod </w:t>
      </w:r>
      <w:r>
        <w:rPr>
          <w:rFonts w:ascii="HermesPl Thin" w:eastAsia="HermesPl Thin" w:hAnsi="HermesPl Thin" w:cs="HermesPl Thin"/>
          <w:b/>
        </w:rPr>
        <w:t>Patronatem Honorowym Ministra Nauki i Szkolnictwa Wyższego, Narodowego Centrum Badań i Rozwoju</w:t>
      </w:r>
      <w:r>
        <w:rPr>
          <w:rFonts w:ascii="HermesPl Thin" w:eastAsia="HermesPl Thin" w:hAnsi="HermesPl Thin" w:cs="HermesPl Thin"/>
        </w:rPr>
        <w:t xml:space="preserve">, </w:t>
      </w:r>
      <w:r>
        <w:rPr>
          <w:rFonts w:ascii="HermesPl Thin" w:eastAsia="HermesPl Thin" w:hAnsi="HermesPl Thin" w:cs="HermesPl Thin"/>
          <w:b/>
        </w:rPr>
        <w:t>Urzędu Komunikacji Elektronicznej</w:t>
      </w:r>
      <w:r>
        <w:rPr>
          <w:rFonts w:ascii="HermesPl Thin" w:eastAsia="HermesPl Thin" w:hAnsi="HermesPl Thin" w:cs="HermesPl Thin"/>
        </w:rPr>
        <w:t xml:space="preserve"> oraz </w:t>
      </w:r>
      <w:r>
        <w:rPr>
          <w:rFonts w:ascii="HermesPl Thin" w:eastAsia="HermesPl Thin" w:hAnsi="HermesPl Thin" w:cs="HermesPl Thin"/>
          <w:b/>
        </w:rPr>
        <w:t>Polskiej Izby Gospodarczej Zaawansowanych Technologii IZTECH</w:t>
      </w:r>
      <w:r>
        <w:rPr>
          <w:rFonts w:ascii="HermesPl Thin" w:eastAsia="HermesPl Thin" w:hAnsi="HermesPl Thin" w:cs="HermesPl Thin"/>
        </w:rPr>
        <w:t xml:space="preserve">, a także pod </w:t>
      </w:r>
      <w:r>
        <w:rPr>
          <w:rFonts w:ascii="HermesPl Thin" w:eastAsia="HermesPl Thin" w:hAnsi="HermesPl Thin" w:cs="HermesPl Thin"/>
          <w:b/>
        </w:rPr>
        <w:t>Patronatem Polskiej Agencji Rozwoju Przedsiębiorczości</w:t>
      </w:r>
      <w:r>
        <w:rPr>
          <w:rFonts w:ascii="HermesPl Thin" w:eastAsia="HermesPl Thin" w:hAnsi="HermesPl Thin" w:cs="HermesPl Thin"/>
        </w:rPr>
        <w:t>.</w:t>
      </w:r>
    </w:p>
    <w:p w14:paraId="00000004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bookmarkStart w:id="0" w:name="_heading=h.i8t6mk7vgtu6" w:colFirst="0" w:colLast="0"/>
      <w:bookmarkEnd w:id="0"/>
      <w:r>
        <w:rPr>
          <w:rFonts w:ascii="HermesPl Thin" w:eastAsia="HermesPl Thin" w:hAnsi="HermesPl Thin" w:cs="HermesPl Thin"/>
        </w:rPr>
        <w:t>Głównym celem konkursu jest </w:t>
      </w:r>
      <w:r>
        <w:rPr>
          <w:rFonts w:ascii="HermesPl Thin" w:eastAsia="HermesPl Thin" w:hAnsi="HermesPl Thin" w:cs="HermesPl Thin"/>
          <w:b/>
        </w:rPr>
        <w:t>popularyzacja wiedzy z zakresu zarządzania projektami</w:t>
      </w:r>
      <w:r>
        <w:rPr>
          <w:rFonts w:ascii="HermesPl Thin" w:eastAsia="HermesPl Thin" w:hAnsi="HermesPl Thin" w:cs="HermesPl Thin"/>
        </w:rPr>
        <w:t>, a także inspirowanie, nagradzanie i wspieranie osób posiadających </w:t>
      </w:r>
      <w:r>
        <w:rPr>
          <w:rFonts w:ascii="HermesPl Thin" w:eastAsia="HermesPl Thin" w:hAnsi="HermesPl Thin" w:cs="HermesPl Thin"/>
          <w:b/>
        </w:rPr>
        <w:t>bogatą</w:t>
      </w:r>
      <w:r>
        <w:rPr>
          <w:rFonts w:ascii="HermesPl Thin" w:eastAsia="HermesPl Thin" w:hAnsi="HermesPl Thin" w:cs="HermesPl Thin"/>
        </w:rPr>
        <w:t> </w:t>
      </w:r>
      <w:r>
        <w:rPr>
          <w:rFonts w:ascii="HermesPl Thin" w:eastAsia="HermesPl Thin" w:hAnsi="HermesPl Thin" w:cs="HermesPl Thin"/>
          <w:b/>
        </w:rPr>
        <w:t>wiedzę</w:t>
      </w:r>
      <w:r>
        <w:rPr>
          <w:rFonts w:ascii="HermesPl Thin" w:eastAsia="HermesPl Thin" w:hAnsi="HermesPl Thin" w:cs="HermesPl Thin"/>
        </w:rPr>
        <w:t xml:space="preserve"> w tej niezwykle prężnie rozwijającej się dziedzinie. Dlatego też, zwycięzcy każdej z kategorii ocenianych prac otrzymają </w:t>
      </w:r>
      <w:r>
        <w:rPr>
          <w:rFonts w:ascii="HermesPl Thin" w:eastAsia="HermesPl Thin" w:hAnsi="HermesPl Thin" w:cs="HermesPl Thin"/>
          <w:b/>
        </w:rPr>
        <w:t>prestiżowy</w:t>
      </w:r>
      <w:r>
        <w:rPr>
          <w:rFonts w:ascii="HermesPl Thin" w:eastAsia="HermesPl Thin" w:hAnsi="HermesPl Thin" w:cs="HermesPl Thin"/>
        </w:rPr>
        <w:t xml:space="preserve"> </w:t>
      </w:r>
      <w:r>
        <w:rPr>
          <w:rFonts w:ascii="HermesPl Thin" w:eastAsia="HermesPl Thin" w:hAnsi="HermesPl Thin" w:cs="HermesPl Thin"/>
          <w:b/>
        </w:rPr>
        <w:t>tytuł Project Mastera 2025</w:t>
      </w:r>
      <w:r>
        <w:rPr>
          <w:rFonts w:ascii="HermesPl Thin" w:eastAsia="HermesPl Thin" w:hAnsi="HermesPl Thin" w:cs="HermesPl Thin"/>
        </w:rPr>
        <w:t>!</w:t>
      </w:r>
    </w:p>
    <w:p w14:paraId="00000005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W konkursie mogą wziąć udział </w:t>
      </w:r>
      <w:r>
        <w:rPr>
          <w:rFonts w:ascii="HermesPl Thin" w:eastAsia="HermesPl Thin" w:hAnsi="HermesPl Thin" w:cs="HermesPl Thin"/>
          <w:b/>
        </w:rPr>
        <w:t>prace licencjackie, inżynierskie</w:t>
      </w:r>
      <w:r>
        <w:rPr>
          <w:rFonts w:ascii="HermesPl Thin" w:eastAsia="HermesPl Thin" w:hAnsi="HermesPl Thin" w:cs="HermesPl Thin"/>
        </w:rPr>
        <w:t xml:space="preserve">, </w:t>
      </w:r>
      <w:r>
        <w:rPr>
          <w:rFonts w:ascii="HermesPl Thin" w:eastAsia="HermesPl Thin" w:hAnsi="HermesPl Thin" w:cs="HermesPl Thin"/>
          <w:b/>
        </w:rPr>
        <w:t>magisterskie</w:t>
      </w:r>
      <w:r>
        <w:rPr>
          <w:rFonts w:ascii="HermesPl Thin" w:eastAsia="HermesPl Thin" w:hAnsi="HermesPl Thin" w:cs="HermesPl Thin"/>
        </w:rPr>
        <w:t xml:space="preserve">, </w:t>
      </w:r>
      <w:r>
        <w:rPr>
          <w:rFonts w:ascii="HermesPl Thin" w:eastAsia="HermesPl Thin" w:hAnsi="HermesPl Thin" w:cs="HermesPl Thin"/>
          <w:b/>
        </w:rPr>
        <w:t>podyplomowe</w:t>
      </w:r>
      <w:r>
        <w:rPr>
          <w:rFonts w:ascii="HermesPl Thin" w:eastAsia="HermesPl Thin" w:hAnsi="HermesPl Thin" w:cs="HermesPl Thin"/>
        </w:rPr>
        <w:t> oraz </w:t>
      </w:r>
      <w:r>
        <w:rPr>
          <w:rFonts w:ascii="HermesPl Thin" w:eastAsia="HermesPl Thin" w:hAnsi="HermesPl Thin" w:cs="HermesPl Thin"/>
          <w:b/>
        </w:rPr>
        <w:t>doktorskie</w:t>
      </w:r>
      <w:r>
        <w:rPr>
          <w:rFonts w:ascii="HermesPl Thin" w:eastAsia="HermesPl Thin" w:hAnsi="HermesPl Thin" w:cs="HermesPl Thin"/>
        </w:rPr>
        <w:t xml:space="preserve">, których tematyka powiązana jest z zarządzaniem projektami. Prace oceniane są przez wybitnych </w:t>
      </w:r>
      <w:r>
        <w:rPr>
          <w:rFonts w:ascii="HermesPl Thin" w:eastAsia="HermesPl Thin" w:hAnsi="HermesPl Thin" w:cs="HermesPl Thin"/>
          <w:b/>
        </w:rPr>
        <w:t>ekspertów</w:t>
      </w:r>
      <w:r>
        <w:rPr>
          <w:rFonts w:ascii="HermesPl Thin" w:eastAsia="HermesPl Thin" w:hAnsi="HermesPl Thin" w:cs="HermesPl Thin"/>
        </w:rPr>
        <w:t xml:space="preserve"> z zakresu zarządzania projektami, reprezentujący zarówno środowisko naukowe, jak i biznesowe. Udział w konkursie jest </w:t>
      </w:r>
      <w:r>
        <w:rPr>
          <w:rFonts w:ascii="HermesPl Thin" w:eastAsia="HermesPl Thin" w:hAnsi="HermesPl Thin" w:cs="HermesPl Thin"/>
          <w:b/>
        </w:rPr>
        <w:t>bezpłatny</w:t>
      </w:r>
      <w:r>
        <w:rPr>
          <w:rFonts w:ascii="HermesPl Thin" w:eastAsia="HermesPl Thin" w:hAnsi="HermesPl Thin" w:cs="HermesPl Thin"/>
        </w:rPr>
        <w:t>!</w:t>
      </w:r>
    </w:p>
    <w:p w14:paraId="00000006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>Możesz zgłosić się do konkursu jeśli:</w:t>
      </w:r>
    </w:p>
    <w:p w14:paraId="00000007" w14:textId="77777777" w:rsidR="00F703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HermesPl Thin" w:eastAsia="HermesPl Thin" w:hAnsi="HermesPl Thin" w:cs="HermesPl Thin"/>
          <w:color w:val="000000"/>
        </w:rPr>
      </w:pPr>
      <w:r>
        <w:rPr>
          <w:rFonts w:ascii="HermesPl Thin" w:eastAsia="HermesPl Thin" w:hAnsi="HermesPl Thin" w:cs="HermesPl Thin"/>
          <w:color w:val="000000"/>
        </w:rPr>
        <w:t>Twoja praca poświęcona jest tematyce zarządzania projektami,</w:t>
      </w:r>
    </w:p>
    <w:p w14:paraId="00000008" w14:textId="77777777" w:rsidR="00F703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HermesPl Thin" w:eastAsia="HermesPl Thin" w:hAnsi="HermesPl Thin" w:cs="HermesPl Thin"/>
          <w:color w:val="000000"/>
        </w:rPr>
      </w:pPr>
      <w:r>
        <w:rPr>
          <w:rFonts w:ascii="HermesPl Thin" w:eastAsia="HermesPl Thin" w:hAnsi="HermesPl Thin" w:cs="HermesPl Thin"/>
          <w:color w:val="000000"/>
        </w:rPr>
        <w:t xml:space="preserve">w przypadku </w:t>
      </w:r>
      <w:r>
        <w:rPr>
          <w:rFonts w:ascii="HermesPl Thin" w:eastAsia="HermesPl Thin" w:hAnsi="HermesPl Thin" w:cs="HermesPl Thin"/>
          <w:b/>
          <w:color w:val="000000"/>
        </w:rPr>
        <w:t xml:space="preserve">pracy licencjackiej, inżynierskiej, magisterskiej oraz podyplomowej, </w:t>
      </w:r>
      <w:r>
        <w:rPr>
          <w:rFonts w:ascii="HermesPl Thin" w:eastAsia="HermesPl Thin" w:hAnsi="HermesPl Thin" w:cs="HermesPl Thin"/>
          <w:color w:val="000000"/>
        </w:rPr>
        <w:t>została ona obroniona w terminie od </w:t>
      </w:r>
      <w:r>
        <w:rPr>
          <w:rFonts w:ascii="HermesPl Thin" w:eastAsia="HermesPl Thin" w:hAnsi="HermesPl Thin" w:cs="HermesPl Thin"/>
          <w:b/>
          <w:color w:val="000000"/>
        </w:rPr>
        <w:t>01.10.2024</w:t>
      </w:r>
      <w:r>
        <w:rPr>
          <w:rFonts w:ascii="HermesPl Thin" w:eastAsia="HermesPl Thin" w:hAnsi="HermesPl Thin" w:cs="HermesPl Thin"/>
          <w:color w:val="000000"/>
        </w:rPr>
        <w:t> do </w:t>
      </w:r>
      <w:r>
        <w:rPr>
          <w:rFonts w:ascii="HermesPl Thin" w:eastAsia="HermesPl Thin" w:hAnsi="HermesPl Thin" w:cs="HermesPl Thin"/>
          <w:b/>
          <w:color w:val="000000"/>
        </w:rPr>
        <w:t>30.09.2025.</w:t>
      </w:r>
    </w:p>
    <w:p w14:paraId="00000009" w14:textId="77777777" w:rsidR="00F703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rmesPl Thin" w:eastAsia="HermesPl Thin" w:hAnsi="HermesPl Thin" w:cs="HermesPl Thin"/>
          <w:color w:val="000000"/>
        </w:rPr>
      </w:pPr>
      <w:r>
        <w:rPr>
          <w:rFonts w:ascii="HermesPl Thin" w:eastAsia="HermesPl Thin" w:hAnsi="HermesPl Thin" w:cs="HermesPl Thin"/>
          <w:color w:val="000000"/>
        </w:rPr>
        <w:t xml:space="preserve">w przypadku </w:t>
      </w:r>
      <w:r>
        <w:rPr>
          <w:rFonts w:ascii="HermesPl Thin" w:eastAsia="HermesPl Thin" w:hAnsi="HermesPl Thin" w:cs="HermesPl Thin"/>
          <w:b/>
          <w:color w:val="000000"/>
        </w:rPr>
        <w:t xml:space="preserve">pracy doktorskiej, </w:t>
      </w:r>
      <w:r>
        <w:rPr>
          <w:rFonts w:ascii="HermesPl Thin" w:eastAsia="HermesPl Thin" w:hAnsi="HermesPl Thin" w:cs="HermesPl Thin"/>
          <w:color w:val="000000"/>
        </w:rPr>
        <w:t>została ona obroniona w terminie od </w:t>
      </w:r>
      <w:r>
        <w:rPr>
          <w:rFonts w:ascii="HermesPl Thin" w:eastAsia="HermesPl Thin" w:hAnsi="HermesPl Thin" w:cs="HermesPl Thin"/>
          <w:b/>
          <w:color w:val="000000"/>
        </w:rPr>
        <w:t>01.10.2023</w:t>
      </w:r>
      <w:r>
        <w:rPr>
          <w:rFonts w:ascii="HermesPl Thin" w:eastAsia="HermesPl Thin" w:hAnsi="HermesPl Thin" w:cs="HermesPl Thin"/>
          <w:color w:val="000000"/>
        </w:rPr>
        <w:t> do </w:t>
      </w:r>
      <w:r>
        <w:rPr>
          <w:rFonts w:ascii="HermesPl Thin" w:eastAsia="HermesPl Thin" w:hAnsi="HermesPl Thin" w:cs="HermesPl Thin"/>
          <w:b/>
          <w:color w:val="000000"/>
        </w:rPr>
        <w:t>30.09.2025,</w:t>
      </w:r>
    </w:p>
    <w:p w14:paraId="0000000A" w14:textId="35B181B6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Jeśli planujesz obronić się do 30.09.2025, ale obrona jest jeszcze przed Tobą, skorzystaj ze specjalnego formularza – </w:t>
      </w:r>
      <w:r w:rsidR="000C7205" w:rsidRPr="007A099C">
        <w:rPr>
          <w:rFonts w:ascii="HermesPl Thin" w:hAnsi="HermesPl Thin"/>
        </w:rPr>
        <w:t>o</w:t>
      </w:r>
      <w:r w:rsidR="000C7205">
        <w:rPr>
          <w:rFonts w:ascii="HermesPl Thin" w:hAnsi="HermesPl Thin"/>
        </w:rPr>
        <w:t xml:space="preserve">trzymasz przypomnienie </w:t>
      </w:r>
      <w:r>
        <w:rPr>
          <w:rFonts w:ascii="HermesPl Thin" w:eastAsia="HermesPl Thin" w:hAnsi="HermesPl Thin" w:cs="HermesPl Thin"/>
        </w:rPr>
        <w:t xml:space="preserve">o udziale w konkursie </w:t>
      </w:r>
      <w:r w:rsidR="000C7205">
        <w:rPr>
          <w:rFonts w:ascii="HermesPl Thin" w:eastAsia="HermesPl Thin" w:hAnsi="HermesPl Thin" w:cs="HermesPl Thin"/>
        </w:rPr>
        <w:t xml:space="preserve">już </w:t>
      </w:r>
      <w:r>
        <w:rPr>
          <w:rFonts w:ascii="HermesPl Thin" w:eastAsia="HermesPl Thin" w:hAnsi="HermesPl Thin" w:cs="HermesPl Thin"/>
        </w:rPr>
        <w:t>po obronie!</w:t>
      </w:r>
    </w:p>
    <w:p w14:paraId="0000000B" w14:textId="77777777" w:rsidR="00F70342" w:rsidRDefault="00000000">
      <w:pPr>
        <w:spacing w:line="360" w:lineRule="auto"/>
      </w:pPr>
      <w:hyperlink r:id="rId6">
        <w:r>
          <w:rPr>
            <w:rFonts w:ascii="HermesPl Thin" w:eastAsia="HermesPl Thin" w:hAnsi="HermesPl Thin" w:cs="HermesPl Thin"/>
            <w:color w:val="1155CC"/>
            <w:u w:val="single"/>
          </w:rPr>
          <w:t>Formularz</w:t>
        </w:r>
      </w:hyperlink>
    </w:p>
    <w:p w14:paraId="0000000C" w14:textId="77777777" w:rsidR="00F70342" w:rsidRDefault="00F70342">
      <w:pPr>
        <w:spacing w:line="360" w:lineRule="auto"/>
      </w:pPr>
    </w:p>
    <w:p w14:paraId="0000000D" w14:textId="77777777" w:rsidR="00F70342" w:rsidRDefault="00F70342">
      <w:pPr>
        <w:spacing w:line="360" w:lineRule="auto"/>
        <w:rPr>
          <w:rFonts w:ascii="HermesPl Thin" w:eastAsia="HermesPl Thin" w:hAnsi="HermesPl Thin" w:cs="HermesPl Thin"/>
        </w:rPr>
      </w:pPr>
    </w:p>
    <w:p w14:paraId="0000000E" w14:textId="77777777" w:rsidR="00F70342" w:rsidRDefault="00000000">
      <w:pPr>
        <w:spacing w:line="360" w:lineRule="auto"/>
        <w:rPr>
          <w:rFonts w:ascii="HermesPl Thin" w:eastAsia="HermesPl Thin" w:hAnsi="HermesPl Thin" w:cs="HermesPl Thin"/>
          <w:b/>
        </w:rPr>
      </w:pPr>
      <w:r>
        <w:rPr>
          <w:rFonts w:ascii="HermesPl Thin" w:eastAsia="HermesPl Thin" w:hAnsi="HermesPl Thin" w:cs="HermesPl Thin"/>
          <w:b/>
        </w:rPr>
        <w:t>W Konkursie do wygrania jest wiele atrakcyjnych nagród:</w:t>
      </w:r>
    </w:p>
    <w:p w14:paraId="0000000F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  <w:b/>
        </w:rPr>
        <w:t>nagroda pieniężna w wysokości 1000 złotych</w:t>
      </w:r>
      <w:r>
        <w:rPr>
          <w:rFonts w:ascii="HermesPl Thin" w:eastAsia="HermesPl Thin" w:hAnsi="HermesPl Thin" w:cs="HermesPl Thin"/>
        </w:rPr>
        <w:t xml:space="preserve"> dla autorów zwycięskich prac dyplomowych w ramach każdej z kategorii konkursowych,</w:t>
      </w:r>
    </w:p>
    <w:p w14:paraId="00000010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  <w:b/>
        </w:rPr>
        <w:t>voucher na certyfikację IPMA-D</w:t>
      </w:r>
      <w:r>
        <w:rPr>
          <w:rFonts w:ascii="HermesPl Thin" w:eastAsia="HermesPl Thin" w:hAnsi="HermesPl Thin" w:cs="HermesPl Thin"/>
        </w:rPr>
        <w:t xml:space="preserve"> do wykorzystania w ciągu 12 miesięcy,</w:t>
      </w:r>
    </w:p>
    <w:p w14:paraId="00000011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  <w:b/>
        </w:rPr>
        <w:t>roczne członkostwo w stowarzyszeniu IPMA Polska</w:t>
      </w:r>
      <w:r>
        <w:rPr>
          <w:rFonts w:ascii="HermesPl Thin" w:eastAsia="HermesPl Thin" w:hAnsi="HermesPl Thin" w:cs="HermesPl Thin"/>
        </w:rPr>
        <w:t>,</w:t>
      </w:r>
    </w:p>
    <w:p w14:paraId="00000012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udział w </w:t>
      </w:r>
      <w:r>
        <w:rPr>
          <w:rFonts w:ascii="HermesPl Thin" w:eastAsia="HermesPl Thin" w:hAnsi="HermesPl Thin" w:cs="HermesPl Thin"/>
          <w:b/>
        </w:rPr>
        <w:t xml:space="preserve">Warsztatach IPMA Young </w:t>
      </w:r>
      <w:proofErr w:type="spellStart"/>
      <w:r>
        <w:rPr>
          <w:rFonts w:ascii="HermesPl Thin" w:eastAsia="HermesPl Thin" w:hAnsi="HermesPl Thin" w:cs="HermesPl Thin"/>
          <w:b/>
        </w:rPr>
        <w:t>Crew</w:t>
      </w:r>
      <w:proofErr w:type="spellEnd"/>
      <w:r>
        <w:rPr>
          <w:rFonts w:ascii="HermesPl Thin" w:eastAsia="HermesPl Thin" w:hAnsi="HermesPl Thin" w:cs="HermesPl Thin"/>
          <w:b/>
        </w:rPr>
        <w:t xml:space="preserve"> 2026</w:t>
      </w:r>
      <w:r>
        <w:rPr>
          <w:rFonts w:ascii="HermesPl Thin" w:eastAsia="HermesPl Thin" w:hAnsi="HermesPl Thin" w:cs="HermesPl Thin"/>
        </w:rPr>
        <w:t>,</w:t>
      </w:r>
    </w:p>
    <w:p w14:paraId="00000013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udział w </w:t>
      </w:r>
      <w:r>
        <w:rPr>
          <w:rFonts w:ascii="HermesPl Thin" w:eastAsia="HermesPl Thin" w:hAnsi="HermesPl Thin" w:cs="HermesPl Thin"/>
          <w:b/>
        </w:rPr>
        <w:t>Seminarium PM Edukacja 2025</w:t>
      </w:r>
      <w:r>
        <w:rPr>
          <w:rFonts w:ascii="HermesPl Thin" w:eastAsia="HermesPl Thin" w:hAnsi="HermesPl Thin" w:cs="HermesPl Thin"/>
        </w:rPr>
        <w:t>, w tym udział czynny,</w:t>
      </w:r>
    </w:p>
    <w:p w14:paraId="00000014" w14:textId="77777777" w:rsidR="00F70342" w:rsidRDefault="00000000">
      <w:pPr>
        <w:numPr>
          <w:ilvl w:val="0"/>
          <w:numId w:val="1"/>
        </w:num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 xml:space="preserve">udział w dwudniowej </w:t>
      </w:r>
      <w:hyperlink r:id="rId7">
        <w:r>
          <w:rPr>
            <w:rFonts w:ascii="HermesPl Thin" w:eastAsia="HermesPl Thin" w:hAnsi="HermesPl Thin" w:cs="HermesPl Thin"/>
            <w:b/>
            <w:color w:val="467886"/>
            <w:u w:val="single"/>
          </w:rPr>
          <w:t>28. Konferencji IPMA Polska: SYNERGY</w:t>
        </w:r>
      </w:hyperlink>
      <w:r>
        <w:rPr>
          <w:rFonts w:ascii="HermesPl Thin" w:eastAsia="HermesPl Thin" w:hAnsi="HermesPl Thin" w:cs="HermesPl Thin"/>
        </w:rPr>
        <w:t>.</w:t>
      </w:r>
    </w:p>
    <w:p w14:paraId="00000015" w14:textId="77777777" w:rsidR="00F70342" w:rsidRDefault="00F70342">
      <w:pPr>
        <w:spacing w:line="360" w:lineRule="auto"/>
        <w:rPr>
          <w:rFonts w:ascii="HermesPl Thin" w:eastAsia="HermesPl Thin" w:hAnsi="HermesPl Thin" w:cs="HermesPl Thin"/>
          <w:b/>
        </w:rPr>
      </w:pPr>
    </w:p>
    <w:p w14:paraId="00000016" w14:textId="387F2596" w:rsidR="00F70342" w:rsidRDefault="000C7205">
      <w:pPr>
        <w:spacing w:line="360" w:lineRule="auto"/>
        <w:rPr>
          <w:rFonts w:ascii="HermesPl Thin" w:eastAsia="HermesPl Thin" w:hAnsi="HermesPl Thin" w:cs="HermesPl Thin"/>
        </w:rPr>
      </w:pPr>
      <w:bookmarkStart w:id="1" w:name="_Hlk199522004"/>
      <w:r>
        <w:rPr>
          <w:rFonts w:ascii="HermesPl Thin" w:eastAsia="HermesPl Thin" w:hAnsi="HermesPl Thin" w:cs="HermesPl Thin"/>
          <w:b/>
        </w:rPr>
        <w:t xml:space="preserve">Zgłoszenia można przesyłać </w:t>
      </w:r>
      <w:r w:rsidR="00000000">
        <w:rPr>
          <w:rFonts w:ascii="HermesPl Thin" w:eastAsia="HermesPl Thin" w:hAnsi="HermesPl Thin" w:cs="HermesPl Thin"/>
          <w:b/>
        </w:rPr>
        <w:t>do 6 października 2025</w:t>
      </w:r>
      <w:bookmarkEnd w:id="1"/>
      <w:r w:rsidR="00000000">
        <w:rPr>
          <w:rFonts w:ascii="HermesPl Thin" w:eastAsia="HermesPl Thin" w:hAnsi="HermesPl Thin" w:cs="HermesPl Thin"/>
          <w:b/>
        </w:rPr>
        <w:t>.</w:t>
      </w:r>
      <w:r w:rsidR="00000000">
        <w:rPr>
          <w:rFonts w:ascii="HermesPl Thin" w:eastAsia="HermesPl Thin" w:hAnsi="HermesPl Thin" w:cs="HermesPl Thin"/>
        </w:rPr>
        <w:t xml:space="preserve"> Ogłoszenie autorów oraz promotorów prac zwycięskich i wyróżnionych w Konkursie Project Master nastąpi z kolei </w:t>
      </w:r>
      <w:r w:rsidR="00000000">
        <w:rPr>
          <w:rFonts w:ascii="HermesPl Thin" w:eastAsia="HermesPl Thin" w:hAnsi="HermesPl Thin" w:cs="HermesPl Thin"/>
          <w:b/>
        </w:rPr>
        <w:t>31 października 2025 roku</w:t>
      </w:r>
      <w:r w:rsidR="00000000">
        <w:rPr>
          <w:rFonts w:ascii="HermesPl Thin" w:eastAsia="HermesPl Thin" w:hAnsi="HermesPl Thin" w:cs="HermesPl Thin"/>
        </w:rPr>
        <w:t> na stronie internetowej konkursu, stronie internetowej IPMA Polska oraz w mediach społecznościowych IPMA Polska.</w:t>
      </w:r>
    </w:p>
    <w:p w14:paraId="00000017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</w:rPr>
        <w:t>Oficjalny </w:t>
      </w:r>
      <w:r>
        <w:rPr>
          <w:rFonts w:ascii="HermesPl Thin" w:eastAsia="HermesPl Thin" w:hAnsi="HermesPl Thin" w:cs="HermesPl Thin"/>
          <w:b/>
        </w:rPr>
        <w:t>Finał Konkursu</w:t>
      </w:r>
      <w:r>
        <w:rPr>
          <w:rFonts w:ascii="HermesPl Thin" w:eastAsia="HermesPl Thin" w:hAnsi="HermesPl Thin" w:cs="HermesPl Thin"/>
        </w:rPr>
        <w:t> będzie mieć miejsce </w:t>
      </w:r>
      <w:r>
        <w:rPr>
          <w:rFonts w:ascii="HermesPl Thin" w:eastAsia="HermesPl Thin" w:hAnsi="HermesPl Thin" w:cs="HermesPl Thin"/>
          <w:b/>
        </w:rPr>
        <w:t>19 listopada 2025 r</w:t>
      </w:r>
      <w:r>
        <w:rPr>
          <w:rFonts w:ascii="HermesPl Thin" w:eastAsia="HermesPl Thin" w:hAnsi="HermesPl Thin" w:cs="HermesPl Thin"/>
        </w:rPr>
        <w:t>. w trakcie </w:t>
      </w:r>
      <w:r>
        <w:rPr>
          <w:rFonts w:ascii="HermesPl Thin" w:eastAsia="HermesPl Thin" w:hAnsi="HermesPl Thin" w:cs="HermesPl Thin"/>
          <w:b/>
        </w:rPr>
        <w:t>Seminarium PM Edukacja</w:t>
      </w:r>
      <w:r>
        <w:rPr>
          <w:rFonts w:ascii="HermesPl Thin" w:eastAsia="HermesPl Thin" w:hAnsi="HermesPl Thin" w:cs="HermesPl Thin"/>
        </w:rPr>
        <w:t>, które odbędzie się na terenie </w:t>
      </w:r>
      <w:r>
        <w:rPr>
          <w:rFonts w:ascii="HermesPl Thin" w:eastAsia="HermesPl Thin" w:hAnsi="HermesPl Thin" w:cs="HermesPl Thin"/>
          <w:b/>
        </w:rPr>
        <w:t>Szkoły Głównej Handlowej w Warszawie</w:t>
      </w:r>
      <w:r>
        <w:rPr>
          <w:rFonts w:ascii="HermesPl Thin" w:eastAsia="HermesPl Thin" w:hAnsi="HermesPl Thin" w:cs="HermesPl Thin"/>
        </w:rPr>
        <w:t>. Rejestracja i udział w wydarzeniu są bezpłatne. Więcej informacji wkrótce.</w:t>
      </w:r>
    </w:p>
    <w:p w14:paraId="00000018" w14:textId="77777777" w:rsidR="00F70342" w:rsidRDefault="00F70342">
      <w:pPr>
        <w:spacing w:line="360" w:lineRule="auto"/>
        <w:rPr>
          <w:rFonts w:ascii="HermesPl Thin" w:eastAsia="HermesPl Thin" w:hAnsi="HermesPl Thin" w:cs="HermesPl Thin"/>
        </w:rPr>
      </w:pPr>
    </w:p>
    <w:p w14:paraId="00000019" w14:textId="77777777" w:rsidR="00F70342" w:rsidRDefault="00000000">
      <w:pPr>
        <w:spacing w:line="360" w:lineRule="auto"/>
        <w:jc w:val="center"/>
        <w:rPr>
          <w:rFonts w:ascii="HermesPl Thin" w:eastAsia="HermesPl Thin" w:hAnsi="HermesPl Thin" w:cs="HermesPl Thin"/>
          <w:b/>
          <w:sz w:val="28"/>
          <w:szCs w:val="28"/>
        </w:rPr>
      </w:pPr>
      <w:r>
        <w:rPr>
          <w:rFonts w:ascii="HermesPl Thin" w:eastAsia="HermesPl Thin" w:hAnsi="HermesPl Thin" w:cs="HermesPl Thin"/>
          <w:b/>
          <w:sz w:val="28"/>
          <w:szCs w:val="28"/>
        </w:rPr>
        <w:t xml:space="preserve">Nie przegap swojej szansy – </w:t>
      </w:r>
      <w:hyperlink r:id="rId8">
        <w:r>
          <w:rPr>
            <w:rFonts w:ascii="HermesPl Thin" w:eastAsia="HermesPl Thin" w:hAnsi="HermesPl Thin" w:cs="HermesPl Thin"/>
            <w:b/>
            <w:color w:val="467886"/>
            <w:sz w:val="28"/>
            <w:szCs w:val="28"/>
            <w:u w:val="single"/>
          </w:rPr>
          <w:t>wypełnij formularz do 6 października</w:t>
        </w:r>
      </w:hyperlink>
      <w:r>
        <w:rPr>
          <w:rFonts w:ascii="HermesPl Thin" w:eastAsia="HermesPl Thin" w:hAnsi="HermesPl Thin" w:cs="HermesPl Thin"/>
          <w:b/>
          <w:sz w:val="28"/>
          <w:szCs w:val="28"/>
        </w:rPr>
        <w:t>!</w:t>
      </w:r>
    </w:p>
    <w:p w14:paraId="0000001A" w14:textId="77777777" w:rsidR="00F70342" w:rsidRDefault="00F70342">
      <w:pPr>
        <w:spacing w:line="360" w:lineRule="auto"/>
        <w:jc w:val="center"/>
        <w:rPr>
          <w:rFonts w:ascii="HermesPl Thin" w:eastAsia="HermesPl Thin" w:hAnsi="HermesPl Thin" w:cs="HermesPl Thin"/>
          <w:b/>
          <w:sz w:val="28"/>
          <w:szCs w:val="28"/>
        </w:rPr>
      </w:pPr>
    </w:p>
    <w:p w14:paraId="0000001B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  <w:b/>
        </w:rPr>
        <w:t>Więcej informacji i formularz zgłoszeniowy:</w:t>
      </w:r>
    </w:p>
    <w:p w14:paraId="0000001C" w14:textId="77777777" w:rsidR="00F70342" w:rsidRDefault="00000000">
      <w:pPr>
        <w:spacing w:line="360" w:lineRule="auto"/>
      </w:pPr>
      <w:hyperlink r:id="rId9">
        <w:r>
          <w:rPr>
            <w:rFonts w:ascii="HermesPl Thin" w:eastAsia="HermesPl Thin" w:hAnsi="HermesPl Thin" w:cs="HermesPl Thin"/>
            <w:color w:val="467886"/>
            <w:u w:val="single"/>
          </w:rPr>
          <w:t>Project Master</w:t>
        </w:r>
      </w:hyperlink>
    </w:p>
    <w:p w14:paraId="0000001D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r>
        <w:rPr>
          <w:rFonts w:ascii="HermesPl Thin" w:eastAsia="HermesPl Thin" w:hAnsi="HermesPl Thin" w:cs="HermesPl Thin"/>
          <w:b/>
        </w:rPr>
        <w:t>Więcej o Seminarium PM Edukacja:</w:t>
      </w:r>
    </w:p>
    <w:p w14:paraId="0000001E" w14:textId="77777777" w:rsidR="00F70342" w:rsidRDefault="00000000">
      <w:pPr>
        <w:spacing w:line="360" w:lineRule="auto"/>
        <w:rPr>
          <w:rFonts w:ascii="HermesPl Thin" w:eastAsia="HermesPl Thin" w:hAnsi="HermesPl Thin" w:cs="HermesPl Thin"/>
        </w:rPr>
      </w:pPr>
      <w:hyperlink r:id="rId10">
        <w:r>
          <w:rPr>
            <w:rFonts w:ascii="HermesPl Thin" w:eastAsia="HermesPl Thin" w:hAnsi="HermesPl Thin" w:cs="HermesPl Thin"/>
            <w:color w:val="467886"/>
            <w:u w:val="single"/>
          </w:rPr>
          <w:t>PM Edukacja</w:t>
        </w:r>
      </w:hyperlink>
    </w:p>
    <w:p w14:paraId="0000001F" w14:textId="77777777" w:rsidR="00F70342" w:rsidRDefault="00F70342">
      <w:pPr>
        <w:spacing w:line="360" w:lineRule="auto"/>
        <w:rPr>
          <w:rFonts w:ascii="HermesPl Thin" w:eastAsia="HermesPl Thin" w:hAnsi="HermesPl Thin" w:cs="HermesPl Thin"/>
        </w:rPr>
      </w:pPr>
    </w:p>
    <w:sectPr w:rsidR="00F703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21F7879F-95DB-4799-8F5A-6CC596CFE947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lawik">
    <w:charset w:val="EE"/>
    <w:family w:val="swiss"/>
    <w:pitch w:val="variable"/>
    <w:sig w:usb0="00000007" w:usb1="00000000" w:usb2="00000000" w:usb3="00000000" w:csb0="00000093" w:csb1="00000000"/>
    <w:embedRegular r:id="rId2" w:fontKey="{2B85A02E-4832-4306-88FB-08BDC7D29506}"/>
    <w:embedItalic r:id="rId3" w:fontKey="{4CCFA799-8AA0-4033-8A5F-D936CE0B61F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7CF033C-CF37-4679-88AE-20D50ECF6614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4900122C-B3FD-4504-9975-1CE45B04972E}"/>
    <w:embedItalic r:id="rId6" w:fontKey="{1386404C-B955-441E-A0C2-5D735837D017}"/>
  </w:font>
  <w:font w:name="HermesFB">
    <w:panose1 w:val="02000606060000020004"/>
    <w:charset w:val="00"/>
    <w:family w:val="modern"/>
    <w:notTrueType/>
    <w:pitch w:val="variable"/>
    <w:sig w:usb0="000000AF" w:usb1="8000404E" w:usb2="00000002" w:usb3="00000000" w:csb0="00000093" w:csb1="00000000"/>
  </w:font>
  <w:font w:name="HermesPl Thin">
    <w:panose1 w:val="02000606050000020004"/>
    <w:charset w:val="00"/>
    <w:family w:val="modern"/>
    <w:notTrueType/>
    <w:pitch w:val="variable"/>
    <w:sig w:usb0="800000AF" w:usb1="5000204B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90F35"/>
    <w:multiLevelType w:val="multilevel"/>
    <w:tmpl w:val="19DC5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CF1851"/>
    <w:multiLevelType w:val="multilevel"/>
    <w:tmpl w:val="240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9986019">
    <w:abstractNumId w:val="0"/>
  </w:num>
  <w:num w:numId="2" w16cid:durableId="208772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42"/>
    <w:rsid w:val="000C7205"/>
    <w:rsid w:val="00C32544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9BF0"/>
  <w15:docId w15:val="{3B48ABE1-06C6-43C4-8A59-1DCD2DF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lawik" w:eastAsia="Selawik" w:hAnsi="Selawik" w:cs="Selawik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03"/>
  </w:style>
  <w:style w:type="paragraph" w:styleId="Nagwek1">
    <w:name w:val="heading 1"/>
    <w:basedOn w:val="Normalny"/>
    <w:next w:val="Normalny"/>
    <w:link w:val="Nagwek1Znak"/>
    <w:uiPriority w:val="9"/>
    <w:qFormat/>
    <w:rsid w:val="0037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8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8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8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8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8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8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7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7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8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8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82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7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4826"/>
    <w:rPr>
      <w:rFonts w:ascii="Selawik" w:hAnsi="Selawik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48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826"/>
    <w:rPr>
      <w:rFonts w:ascii="Selawik" w:hAnsi="Selawik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482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9413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master.ipma.pl/zglos-pra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nferencja.ipm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Euo2Nr7LpYprVpdKdb9ebzgynpGeC_WKwktKjU55QIX9R6g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medukacja.ipm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master.ipma.pl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8A1dYtRMj5feNZHlSpl2IBeAw==">CgMxLjAyDmguaTh0Nm1rN3ZndHU2OAByITF2ckpaakc4dWVsSUZ6Ti1xbm1DYnh6QWJTUTBGZ3VtUA==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Kosmala</dc:creator>
  <cp:lastModifiedBy>Krzysztof Kosmala</cp:lastModifiedBy>
  <cp:revision>2</cp:revision>
  <dcterms:created xsi:type="dcterms:W3CDTF">2025-05-23T11:47:00Z</dcterms:created>
  <dcterms:modified xsi:type="dcterms:W3CDTF">2025-05-30T16:26:00Z</dcterms:modified>
</cp:coreProperties>
</file>